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学术著作的录入方法及注意事项：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1、按要求填写：</w:t>
      </w:r>
    </w:p>
    <w:p>
      <w:pPr>
        <w:rPr>
          <w:rFonts w:hint="eastAsia"/>
          <w:sz w:val="28"/>
          <w:szCs w:val="28"/>
          <w:lang w:eastAsia="zh-CN"/>
        </w:rPr>
      </w:pPr>
      <w:r>
        <w:drawing>
          <wp:inline distT="0" distB="0" distL="114300" distR="114300">
            <wp:extent cx="5274310" cy="2977515"/>
            <wp:effectExtent l="0" t="0" r="254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2、完善人员信息及字数</w:t>
      </w:r>
    </w:p>
    <w:p>
      <w:r>
        <w:drawing>
          <wp:inline distT="0" distB="0" distL="114300" distR="114300">
            <wp:extent cx="5266690" cy="1270635"/>
            <wp:effectExtent l="0" t="0" r="1016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27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著作的认定类别：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类出版社指科学出版社、人民出版社、商务印书馆、中华书局、中国社会科学出版社、三联书店和国外著名出版社；二类出版社指国家各部、委、局主管的各类国家级专业出版社和清华大学、北京大学、复旦大学、南京大学、中国科技大学、上海交通大学、西安交通大学、浙江大学、哈尔滨工业大学、中国人民大学、同济大学出版社、上海古籍出版社、中国科学技术出版社、人民卫生出版社、高等教育出版社及各省、市、自治区的人民出版社；三类出版社是指上述一、二类出版社以外的其他出版社。港、澳、台地区及国外出版社的级别由学校学术委员会审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610D92"/>
    <w:rsid w:val="07D20DF5"/>
    <w:rsid w:val="40631255"/>
    <w:rsid w:val="4B61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2019-03-21T03:00:00Z</dcterms:created>
  <dc:creator>新余学院习军</dc:creator>
  <cp:lastModifiedBy>新余学院习军</cp:lastModifiedBy>
  <dcterms:modified xsi:type="dcterms:W3CDTF">2019-03-21T03:06:24Z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